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3686"/>
        <w:gridCol w:w="1276"/>
        <w:gridCol w:w="2551"/>
      </w:tblGrid>
      <w:tr w:rsidR="00070BDE" w:rsidRPr="00070BDE" w:rsidTr="00AD3BB7">
        <w:tc>
          <w:tcPr>
            <w:tcW w:w="1672" w:type="dxa"/>
            <w:shd w:val="clear" w:color="auto" w:fill="auto"/>
          </w:tcPr>
          <w:p w:rsidR="00070BDE" w:rsidRPr="00070BDE" w:rsidRDefault="00070BDE" w:rsidP="00070BDE">
            <w:pPr>
              <w:rPr>
                <w:b/>
                <w:noProof/>
              </w:rPr>
            </w:pPr>
            <w:r w:rsidRPr="00070BDE">
              <w:rPr>
                <w:b/>
                <w:noProof/>
              </w:rPr>
              <w:t>Antragsteller:</w:t>
            </w:r>
          </w:p>
        </w:tc>
        <w:tc>
          <w:tcPr>
            <w:tcW w:w="3686" w:type="dxa"/>
            <w:shd w:val="clear" w:color="auto" w:fill="auto"/>
          </w:tcPr>
          <w:p w:rsidR="00070BDE" w:rsidRPr="00070BDE" w:rsidRDefault="00553D39" w:rsidP="00FE7806">
            <w:pPr>
              <w:rPr>
                <w:noProof/>
              </w:rPr>
            </w:pPr>
            <w:r>
              <w:rPr>
                <w:noProof/>
              </w:rPr>
              <w:t>Alberding Industriemo</w:t>
            </w:r>
            <w:r w:rsidR="00FE7806">
              <w:rPr>
                <w:noProof/>
              </w:rPr>
              <w:t>ntagen GmbH &amp; Co. KG, Eichkamp 9A</w:t>
            </w:r>
            <w:r>
              <w:rPr>
                <w:noProof/>
              </w:rPr>
              <w:t>, 49681 Garrel</w:t>
            </w:r>
          </w:p>
        </w:tc>
        <w:tc>
          <w:tcPr>
            <w:tcW w:w="1276" w:type="dxa"/>
            <w:shd w:val="clear" w:color="auto" w:fill="auto"/>
          </w:tcPr>
          <w:p w:rsidR="00070BDE" w:rsidRPr="00070BDE" w:rsidRDefault="00070BDE" w:rsidP="00070BDE">
            <w:pPr>
              <w:rPr>
                <w:b/>
                <w:noProof/>
                <w:sz w:val="20"/>
                <w:szCs w:val="20"/>
              </w:rPr>
            </w:pPr>
            <w:r w:rsidRPr="00070BDE">
              <w:rPr>
                <w:b/>
                <w:noProof/>
                <w:sz w:val="20"/>
                <w:szCs w:val="20"/>
              </w:rPr>
              <w:t>Akten-</w:t>
            </w:r>
          </w:p>
          <w:p w:rsidR="00070BDE" w:rsidRPr="00070BDE" w:rsidRDefault="00070BDE" w:rsidP="00070BDE">
            <w:pPr>
              <w:rPr>
                <w:b/>
                <w:noProof/>
                <w:sz w:val="20"/>
                <w:szCs w:val="20"/>
              </w:rPr>
            </w:pPr>
            <w:r w:rsidRPr="00070BDE">
              <w:rPr>
                <w:b/>
                <w:noProof/>
                <w:sz w:val="20"/>
                <w:szCs w:val="20"/>
              </w:rPr>
              <w:t>zeichen:</w:t>
            </w:r>
          </w:p>
        </w:tc>
        <w:tc>
          <w:tcPr>
            <w:tcW w:w="2551" w:type="dxa"/>
            <w:shd w:val="clear" w:color="auto" w:fill="auto"/>
          </w:tcPr>
          <w:p w:rsidR="00070BDE" w:rsidRPr="00070BDE" w:rsidRDefault="001E59CD" w:rsidP="00553D39">
            <w:pPr>
              <w:rPr>
                <w:noProof/>
                <w:sz w:val="20"/>
                <w:szCs w:val="20"/>
              </w:rPr>
            </w:pPr>
            <w:r>
              <w:rPr>
                <w:noProof/>
                <w:sz w:val="20"/>
                <w:szCs w:val="20"/>
              </w:rPr>
              <w:t>OL 1</w:t>
            </w:r>
            <w:r w:rsidR="003029B2">
              <w:rPr>
                <w:noProof/>
                <w:sz w:val="20"/>
                <w:szCs w:val="20"/>
              </w:rPr>
              <w:t>9</w:t>
            </w:r>
            <w:r w:rsidR="00A919BE">
              <w:rPr>
                <w:noProof/>
                <w:sz w:val="20"/>
                <w:szCs w:val="20"/>
              </w:rPr>
              <w:t>-</w:t>
            </w:r>
            <w:r w:rsidR="00E74E3A">
              <w:rPr>
                <w:noProof/>
                <w:sz w:val="20"/>
                <w:szCs w:val="20"/>
              </w:rPr>
              <w:t>1</w:t>
            </w:r>
            <w:r w:rsidR="00553D39">
              <w:rPr>
                <w:noProof/>
                <w:sz w:val="20"/>
                <w:szCs w:val="20"/>
              </w:rPr>
              <w:t>12</w:t>
            </w:r>
            <w:r w:rsidR="00A919BE">
              <w:rPr>
                <w:noProof/>
                <w:sz w:val="20"/>
                <w:szCs w:val="20"/>
              </w:rPr>
              <w:t>-01</w:t>
            </w:r>
          </w:p>
        </w:tc>
      </w:tr>
      <w:tr w:rsidR="00070BDE" w:rsidRPr="00070BDE" w:rsidTr="00AD3BB7">
        <w:tc>
          <w:tcPr>
            <w:tcW w:w="1672" w:type="dxa"/>
            <w:shd w:val="clear" w:color="auto" w:fill="auto"/>
          </w:tcPr>
          <w:p w:rsidR="00070BDE" w:rsidRPr="00070BDE" w:rsidRDefault="00070BDE" w:rsidP="00070BDE">
            <w:pPr>
              <w:rPr>
                <w:b/>
                <w:noProof/>
              </w:rPr>
            </w:pPr>
            <w:r w:rsidRPr="00070BDE">
              <w:rPr>
                <w:b/>
                <w:noProof/>
              </w:rPr>
              <w:t>Gegenstand:</w:t>
            </w:r>
          </w:p>
        </w:tc>
        <w:tc>
          <w:tcPr>
            <w:tcW w:w="7513" w:type="dxa"/>
            <w:gridSpan w:val="3"/>
            <w:shd w:val="clear" w:color="auto" w:fill="auto"/>
          </w:tcPr>
          <w:p w:rsidR="005C5F38" w:rsidRPr="00070BDE" w:rsidRDefault="00553D39" w:rsidP="00553D39">
            <w:pPr>
              <w:spacing w:after="120"/>
              <w:rPr>
                <w:noProof/>
              </w:rPr>
            </w:pPr>
            <w:r w:rsidRPr="00553D39">
              <w:rPr>
                <w:noProof/>
              </w:rPr>
              <w:t>Errichtung einer Pyrolyseanlage zur Herstellung von Aktivkohle (Versuchsanlage) und de</w:t>
            </w:r>
            <w:r>
              <w:rPr>
                <w:noProof/>
              </w:rPr>
              <w:t>re</w:t>
            </w:r>
            <w:r w:rsidRPr="00553D39">
              <w:rPr>
                <w:noProof/>
              </w:rPr>
              <w:t>n Betrieb</w:t>
            </w:r>
            <w:r>
              <w:rPr>
                <w:noProof/>
              </w:rPr>
              <w:t xml:space="preserve"> für 24 Monate</w:t>
            </w:r>
          </w:p>
        </w:tc>
      </w:tr>
    </w:tbl>
    <w:p w:rsidR="00070BDE" w:rsidRPr="00070BDE" w:rsidRDefault="00070BDE" w:rsidP="00070BDE">
      <w:pPr>
        <w:rPr>
          <w:b/>
          <w:noProof/>
        </w:rPr>
      </w:pPr>
    </w:p>
    <w:p w:rsidR="00D77419" w:rsidRPr="00D77419" w:rsidRDefault="00D77419" w:rsidP="00D77419">
      <w:pPr>
        <w:rPr>
          <w:b/>
        </w:rPr>
      </w:pPr>
      <w:r w:rsidRPr="00D77419">
        <w:rPr>
          <w:b/>
          <w:u w:val="single"/>
        </w:rPr>
        <w:t>Dokumentation der UVP-Vorprüfung – Bewertung durch die Behörde</w:t>
      </w:r>
    </w:p>
    <w:p w:rsidR="00D77419" w:rsidRPr="00AC24CF" w:rsidRDefault="00D77419" w:rsidP="00D77419">
      <w:pPr>
        <w:rPr>
          <w:b/>
          <w:sz w:val="18"/>
          <w:szCs w:val="18"/>
        </w:rPr>
      </w:pPr>
    </w:p>
    <w:p w:rsidR="00D77419" w:rsidRPr="00AC24CF" w:rsidRDefault="00D77419" w:rsidP="00D77419">
      <w:pPr>
        <w:rPr>
          <w:b/>
          <w:sz w:val="18"/>
          <w:szCs w:val="18"/>
        </w:rPr>
      </w:pPr>
      <w:r w:rsidRPr="00AC24CF">
        <w:rPr>
          <w:b/>
          <w:sz w:val="18"/>
          <w:szCs w:val="18"/>
        </w:rPr>
        <w:tab/>
        <w:t xml:space="preserve"> </w:t>
      </w:r>
      <w:sdt>
        <w:sdtPr>
          <w:rPr>
            <w:b/>
            <w:sz w:val="18"/>
            <w:szCs w:val="18"/>
          </w:rPr>
          <w:id w:val="-1768536230"/>
          <w14:checkbox>
            <w14:checked w14:val="1"/>
            <w14:checkedState w14:val="2612" w14:font="MS Gothic"/>
            <w14:uncheckedState w14:val="2610" w14:font="MS Gothic"/>
          </w14:checkbox>
        </w:sdtPr>
        <w:sdtEndPr/>
        <w:sdtContent>
          <w:r w:rsidR="00E74E3A">
            <w:rPr>
              <w:rFonts w:ascii="MS Gothic" w:eastAsia="MS Gothic" w:hAnsi="MS Gothic" w:hint="eastAsia"/>
              <w:b/>
              <w:sz w:val="18"/>
              <w:szCs w:val="18"/>
            </w:rPr>
            <w:t>☒</w:t>
          </w:r>
        </w:sdtContent>
      </w:sdt>
      <w:r w:rsidRPr="00AC24CF">
        <w:rPr>
          <w:b/>
          <w:sz w:val="18"/>
          <w:szCs w:val="18"/>
        </w:rPr>
        <w:t xml:space="preserve"> Allgemeine Vorprüfung des Einzelfalls</w:t>
      </w:r>
    </w:p>
    <w:p w:rsidR="00D77419" w:rsidRPr="00F1735A" w:rsidRDefault="00D77419" w:rsidP="00F1735A">
      <w:pPr>
        <w:rPr>
          <w:b/>
          <w:sz w:val="18"/>
          <w:szCs w:val="18"/>
        </w:rPr>
      </w:pPr>
      <w:r w:rsidRPr="00AC24CF">
        <w:rPr>
          <w:b/>
          <w:sz w:val="18"/>
          <w:szCs w:val="18"/>
        </w:rPr>
        <w:tab/>
        <w:t xml:space="preserve"> </w:t>
      </w:r>
      <w:sdt>
        <w:sdtPr>
          <w:rPr>
            <w:b/>
            <w:sz w:val="18"/>
            <w:szCs w:val="18"/>
          </w:rPr>
          <w:id w:val="147260295"/>
          <w14:checkbox>
            <w14:checked w14:val="0"/>
            <w14:checkedState w14:val="2612" w14:font="MS Gothic"/>
            <w14:uncheckedState w14:val="2610" w14:font="MS Gothic"/>
          </w14:checkbox>
        </w:sdtPr>
        <w:sdtEndPr/>
        <w:sdtContent>
          <w:r w:rsidR="00E74E3A">
            <w:rPr>
              <w:rFonts w:ascii="MS Gothic" w:eastAsia="MS Gothic" w:hAnsi="MS Gothic" w:hint="eastAsia"/>
              <w:b/>
              <w:sz w:val="18"/>
              <w:szCs w:val="18"/>
            </w:rPr>
            <w:t>☐</w:t>
          </w:r>
        </w:sdtContent>
      </w:sdt>
      <w:r w:rsidRPr="00AC24CF">
        <w:rPr>
          <w:b/>
          <w:sz w:val="18"/>
          <w:szCs w:val="18"/>
        </w:rPr>
        <w:t xml:space="preserve"> Standortbezogene Vorprüfung des Einzelfalls</w:t>
      </w:r>
      <w:r w:rsidR="00E74E3A">
        <w:rPr>
          <w:b/>
          <w:sz w:val="18"/>
          <w:szCs w:val="18"/>
        </w:rPr>
        <w:t xml:space="preserve"> (</w:t>
      </w:r>
      <w:r w:rsidR="00F1735A">
        <w:rPr>
          <w:b/>
          <w:sz w:val="18"/>
          <w:szCs w:val="18"/>
        </w:rPr>
        <w:t>1.1.</w:t>
      </w:r>
      <w:r w:rsidR="00E74E3A">
        <w:rPr>
          <w:b/>
          <w:sz w:val="18"/>
          <w:szCs w:val="18"/>
        </w:rPr>
        <w:t>2</w:t>
      </w:r>
      <w:r w:rsidR="00F1735A">
        <w:rPr>
          <w:b/>
          <w:sz w:val="18"/>
          <w:szCs w:val="18"/>
        </w:rPr>
        <w:t xml:space="preserve"> der </w:t>
      </w:r>
      <w:r w:rsidR="00F1735A" w:rsidRPr="00F1735A">
        <w:rPr>
          <w:b/>
          <w:sz w:val="18"/>
          <w:szCs w:val="18"/>
        </w:rPr>
        <w:t>Anlage 1 zum UVPG</w:t>
      </w:r>
      <w:r w:rsidR="00F1735A">
        <w:rPr>
          <w:b/>
          <w:sz w:val="18"/>
          <w:szCs w:val="18"/>
        </w:rPr>
        <w:t>)</w:t>
      </w:r>
    </w:p>
    <w:p w:rsidR="00D77419" w:rsidRPr="00AC24CF" w:rsidRDefault="00D77419" w:rsidP="00D77419">
      <w:pPr>
        <w:rPr>
          <w:b/>
          <w:sz w:val="18"/>
          <w:szCs w:val="18"/>
        </w:rPr>
      </w:pPr>
    </w:p>
    <w:p w:rsidR="00D77419" w:rsidRPr="00AC24CF" w:rsidRDefault="00D77419" w:rsidP="00D77419">
      <w:pPr>
        <w:rPr>
          <w:sz w:val="18"/>
          <w:szCs w:val="18"/>
        </w:rPr>
      </w:pPr>
      <w:r w:rsidRPr="00AC24CF">
        <w:rPr>
          <w:b/>
          <w:sz w:val="18"/>
          <w:szCs w:val="18"/>
        </w:rPr>
        <w:t>1.</w:t>
      </w:r>
      <w:r w:rsidRPr="00AC24CF">
        <w:rPr>
          <w:b/>
          <w:sz w:val="18"/>
          <w:szCs w:val="18"/>
        </w:rPr>
        <w:tab/>
        <w:t>Prüfergebnisse zu den Formularen 14.3 bis 14.3 b)</w:t>
      </w:r>
      <w:r w:rsidRPr="00AC24CF">
        <w:rPr>
          <w:b/>
          <w:sz w:val="18"/>
          <w:szCs w:val="18"/>
        </w:rPr>
        <w:br/>
      </w:r>
      <w:r w:rsidRPr="00AC24CF">
        <w:rPr>
          <w:sz w:val="18"/>
          <w:szCs w:val="18"/>
        </w:rPr>
        <w:t xml:space="preserve">Die Formulare 14.3, 14.3 a) und 14.3 b) sind dieser Bewertung beigefügt. </w:t>
      </w:r>
      <w:r w:rsidRPr="00AC24CF">
        <w:rPr>
          <w:sz w:val="18"/>
          <w:szCs w:val="18"/>
        </w:rPr>
        <w:br/>
        <w:t xml:space="preserve">Sind die Angaben in den Formularen vollständig und richtig? Ja </w:t>
      </w:r>
      <w:sdt>
        <w:sdtPr>
          <w:rPr>
            <w:sz w:val="18"/>
            <w:szCs w:val="18"/>
          </w:rPr>
          <w:id w:val="-92400861"/>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C24CF">
        <w:rPr>
          <w:sz w:val="18"/>
          <w:szCs w:val="18"/>
        </w:rPr>
        <w:t xml:space="preserve"> Nein </w:t>
      </w:r>
      <w:sdt>
        <w:sdtPr>
          <w:rPr>
            <w:sz w:val="18"/>
            <w:szCs w:val="18"/>
          </w:rPr>
          <w:id w:val="-399364094"/>
          <w14:checkbox>
            <w14:checked w14:val="0"/>
            <w14:checkedState w14:val="2612" w14:font="MS Gothic"/>
            <w14:uncheckedState w14:val="2610" w14:font="MS Gothic"/>
          </w14:checkbox>
        </w:sdtPr>
        <w:sdtEndPr/>
        <w:sdtContent>
          <w:r w:rsidRPr="00AC24CF">
            <w:rPr>
              <w:rFonts w:ascii="MS Gothic" w:eastAsia="MS Gothic" w:hAnsi="MS Gothic" w:cs="MS Gothic" w:hint="eastAsia"/>
              <w:sz w:val="18"/>
              <w:szCs w:val="18"/>
            </w:rPr>
            <w:t>☐</w:t>
          </w:r>
        </w:sdtContent>
      </w:sdt>
    </w:p>
    <w:p w:rsidR="00070BDE" w:rsidRDefault="00070BDE" w:rsidP="00070BDE">
      <w:pPr>
        <w:rPr>
          <w:b/>
          <w:noProof/>
        </w:rPr>
      </w:pPr>
    </w:p>
    <w:p w:rsidR="00D77419" w:rsidRPr="00D77419" w:rsidRDefault="00D77419" w:rsidP="00D77419">
      <w:pPr>
        <w:rPr>
          <w:b/>
          <w:noProof/>
          <w:sz w:val="20"/>
          <w:szCs w:val="20"/>
        </w:rPr>
      </w:pPr>
      <w:r w:rsidRPr="00D77419">
        <w:rPr>
          <w:b/>
          <w:noProof/>
          <w:sz w:val="20"/>
          <w:szCs w:val="20"/>
        </w:rPr>
        <w:t>2.</w:t>
      </w:r>
      <w:r w:rsidRPr="00D77419">
        <w:rPr>
          <w:b/>
          <w:noProof/>
          <w:sz w:val="20"/>
          <w:szCs w:val="20"/>
        </w:rPr>
        <w:tab/>
        <w:t>Art und Merkmale der möglichen Auswirkungen </w:t>
      </w:r>
    </w:p>
    <w:p w:rsidR="00D77419" w:rsidRPr="00D77419" w:rsidRDefault="00D77419" w:rsidP="00D77419">
      <w:pPr>
        <w:rPr>
          <w:b/>
          <w:noProof/>
          <w:sz w:val="20"/>
          <w:szCs w:val="20"/>
        </w:rPr>
      </w:pPr>
    </w:p>
    <w:tbl>
      <w:tblPr>
        <w:tblStyle w:val="Tabellenraster"/>
        <w:tblW w:w="8505" w:type="dxa"/>
        <w:tblInd w:w="108" w:type="dxa"/>
        <w:tblLayout w:type="fixed"/>
        <w:tblLook w:val="04A0" w:firstRow="1" w:lastRow="0" w:firstColumn="1" w:lastColumn="0" w:noHBand="0" w:noVBand="1"/>
      </w:tblPr>
      <w:tblGrid>
        <w:gridCol w:w="2127"/>
        <w:gridCol w:w="6378"/>
      </w:tblGrid>
      <w:tr w:rsidR="00D77419" w:rsidRPr="00DB26B0" w:rsidTr="00D77419">
        <w:trPr>
          <w:cantSplit/>
          <w:trHeight w:val="285"/>
        </w:trPr>
        <w:tc>
          <w:tcPr>
            <w:tcW w:w="2127" w:type="dxa"/>
          </w:tcPr>
          <w:p w:rsidR="00D77419" w:rsidRPr="00DB26B0" w:rsidRDefault="00D77419" w:rsidP="00AA193F">
            <w:pPr>
              <w:rPr>
                <w:rFonts w:ascii="Arial" w:hAnsi="Arial" w:cs="Arial"/>
                <w:b/>
              </w:rPr>
            </w:pPr>
            <w:r w:rsidRPr="00DB26B0">
              <w:rPr>
                <w:rFonts w:ascii="Arial" w:hAnsi="Arial" w:cs="Arial"/>
                <w:b/>
              </w:rPr>
              <w:t>Tabelle 1</w:t>
            </w:r>
          </w:p>
        </w:tc>
        <w:tc>
          <w:tcPr>
            <w:tcW w:w="6378" w:type="dxa"/>
            <w:vAlign w:val="center"/>
          </w:tcPr>
          <w:p w:rsidR="00D77419" w:rsidRPr="00DB26B0" w:rsidRDefault="00D77419" w:rsidP="00462485">
            <w:pPr>
              <w:spacing w:after="120" w:line="240" w:lineRule="auto"/>
              <w:rPr>
                <w:rFonts w:ascii="Arial" w:hAnsi="Arial" w:cs="Arial"/>
                <w:b/>
              </w:rPr>
            </w:pPr>
            <w:r w:rsidRPr="00DB26B0">
              <w:rPr>
                <w:rFonts w:ascii="Arial" w:hAnsi="Arial" w:cs="Arial"/>
                <w:b/>
              </w:rPr>
              <w:t>Überschlägige Beschreibung der möglichen nachteiligen Umweltauswirkungen (Wirkfaktoren)</w:t>
            </w:r>
            <w:r w:rsidRPr="00DB26B0">
              <w:rPr>
                <w:rFonts w:ascii="Arial" w:hAnsi="Arial" w:cs="Arial"/>
                <w:b/>
                <w:i/>
              </w:rPr>
              <w:t xml:space="preserve"> </w:t>
            </w:r>
            <w:r w:rsidRPr="00DB26B0">
              <w:rPr>
                <w:rFonts w:ascii="Arial" w:hAnsi="Arial" w:cs="Arial"/>
                <w:b/>
              </w:rPr>
              <w:t>zur Bau-, Betriebsphase- und besonderen Betriebszuständen</w:t>
            </w:r>
          </w:p>
        </w:tc>
      </w:tr>
      <w:tr w:rsidR="00D77419" w:rsidRPr="00DB26B0" w:rsidTr="00D77419">
        <w:trPr>
          <w:cantSplit/>
          <w:trHeight w:val="285"/>
        </w:trPr>
        <w:tc>
          <w:tcPr>
            <w:tcW w:w="2127" w:type="dxa"/>
          </w:tcPr>
          <w:p w:rsidR="00D77419" w:rsidRPr="00F1735A" w:rsidRDefault="00D77419" w:rsidP="00AA193F">
            <w:pPr>
              <w:spacing w:line="240" w:lineRule="auto"/>
              <w:rPr>
                <w:rFonts w:ascii="Arial" w:hAnsi="Arial" w:cs="Arial"/>
              </w:rPr>
            </w:pPr>
            <w:r w:rsidRPr="00DB26B0">
              <w:rPr>
                <w:rFonts w:ascii="Arial" w:hAnsi="Arial" w:cs="Arial"/>
                <w:b/>
              </w:rPr>
              <w:t>Menschen</w:t>
            </w:r>
            <w:r w:rsidRPr="00F1735A">
              <w:rPr>
                <w:rFonts w:ascii="Arial" w:hAnsi="Arial" w:cs="Arial"/>
              </w:rPr>
              <w:t>, insbes. menschliche Gesundheit</w:t>
            </w:r>
          </w:p>
          <w:p w:rsidR="00DB26B0" w:rsidRPr="00DB26B0" w:rsidRDefault="00DB26B0" w:rsidP="00AA193F">
            <w:pPr>
              <w:spacing w:line="240" w:lineRule="auto"/>
              <w:rPr>
                <w:rFonts w:ascii="Arial" w:hAnsi="Arial" w:cs="Arial"/>
                <w:b/>
              </w:rPr>
            </w:pPr>
            <w:r w:rsidRPr="00F1735A">
              <w:rPr>
                <w:rFonts w:ascii="Arial" w:hAnsi="Arial" w:cs="Arial"/>
              </w:rPr>
              <w:t>Tiere, Pflanzen und biologische Vielfalt, einschließlich der Arten und Lebensraumtypen von gemeinschaftlicher Bedeutung</w:t>
            </w:r>
          </w:p>
        </w:tc>
        <w:tc>
          <w:tcPr>
            <w:tcW w:w="6378" w:type="dxa"/>
            <w:vAlign w:val="center"/>
          </w:tcPr>
          <w:p w:rsidR="00216945" w:rsidRPr="00DB26B0" w:rsidRDefault="003A6C3F" w:rsidP="00FE7806">
            <w:pPr>
              <w:spacing w:line="240" w:lineRule="auto"/>
              <w:rPr>
                <w:rFonts w:ascii="Arial" w:hAnsi="Arial" w:cs="Arial"/>
              </w:rPr>
            </w:pPr>
            <w:r w:rsidRPr="003A6C3F">
              <w:rPr>
                <w:rFonts w:ascii="Arial" w:hAnsi="Arial" w:cs="Arial"/>
              </w:rPr>
              <w:t>Bei der Pyrolyse handelt es sich um eine geschlossene Anlage,</w:t>
            </w:r>
            <w:r>
              <w:rPr>
                <w:rFonts w:ascii="Arial" w:hAnsi="Arial" w:cs="Arial"/>
              </w:rPr>
              <w:t xml:space="preserve"> die in einem Container unterge</w:t>
            </w:r>
            <w:r w:rsidRPr="003A6C3F">
              <w:rPr>
                <w:rFonts w:ascii="Arial" w:hAnsi="Arial" w:cs="Arial"/>
              </w:rPr>
              <w:t xml:space="preserve">bracht ist. </w:t>
            </w:r>
            <w:r w:rsidR="00FE7806" w:rsidRPr="00FE7806">
              <w:rPr>
                <w:rFonts w:ascii="Arial" w:hAnsi="Arial" w:cs="Arial"/>
              </w:rPr>
              <w:t xml:space="preserve">Erhebliche nachteilige Umweltauswirkungen durch Lärmemissionen </w:t>
            </w:r>
            <w:r w:rsidR="00FE7806">
              <w:rPr>
                <w:rFonts w:ascii="Arial" w:hAnsi="Arial" w:cs="Arial"/>
              </w:rPr>
              <w:t xml:space="preserve">und Luftschadstoffe </w:t>
            </w:r>
            <w:r w:rsidR="00FE7806" w:rsidRPr="00FE7806">
              <w:rPr>
                <w:rFonts w:ascii="Arial" w:hAnsi="Arial" w:cs="Arial"/>
              </w:rPr>
              <w:t>können ausgeschlossen werden</w:t>
            </w:r>
            <w:r w:rsidR="00FE7806">
              <w:rPr>
                <w:rFonts w:ascii="Arial" w:hAnsi="Arial" w:cs="Arial"/>
              </w:rPr>
              <w:t>.</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Fläche</w:t>
            </w:r>
          </w:p>
        </w:tc>
        <w:tc>
          <w:tcPr>
            <w:tcW w:w="6378" w:type="dxa"/>
            <w:vAlign w:val="center"/>
          </w:tcPr>
          <w:p w:rsidR="0090570A" w:rsidRPr="00DB26B0" w:rsidRDefault="00FE7806" w:rsidP="00FE7806">
            <w:pPr>
              <w:spacing w:after="120" w:line="240" w:lineRule="auto"/>
              <w:rPr>
                <w:rFonts w:ascii="Arial" w:hAnsi="Arial" w:cs="Arial"/>
              </w:rPr>
            </w:pPr>
            <w:r>
              <w:rPr>
                <w:rFonts w:ascii="Arial" w:hAnsi="Arial" w:cs="Arial"/>
              </w:rPr>
              <w:t>Das Vorhaben nimmt ca. 30 m² Fläche in Anspruch, es ist keine Neuversiegelung erforderlich</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Boden</w:t>
            </w:r>
          </w:p>
        </w:tc>
        <w:tc>
          <w:tcPr>
            <w:tcW w:w="6378" w:type="dxa"/>
            <w:vAlign w:val="center"/>
          </w:tcPr>
          <w:p w:rsidR="0090570A" w:rsidRPr="00DB26B0" w:rsidRDefault="00FE7806" w:rsidP="000C42C4">
            <w:pPr>
              <w:spacing w:after="120" w:line="240" w:lineRule="auto"/>
              <w:rPr>
                <w:rFonts w:ascii="Arial" w:hAnsi="Arial" w:cs="Arial"/>
              </w:rPr>
            </w:pPr>
            <w:r w:rsidRPr="00FE7806">
              <w:rPr>
                <w:rFonts w:ascii="Arial" w:hAnsi="Arial" w:cs="Arial"/>
              </w:rPr>
              <w:t>keine Neuversiegelun</w:t>
            </w:r>
            <w:r>
              <w:rPr>
                <w:rFonts w:ascii="Arial" w:hAnsi="Arial" w:cs="Arial"/>
              </w:rPr>
              <w:t>g</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Wasser</w:t>
            </w:r>
          </w:p>
        </w:tc>
        <w:tc>
          <w:tcPr>
            <w:tcW w:w="6378" w:type="dxa"/>
            <w:vAlign w:val="center"/>
          </w:tcPr>
          <w:p w:rsidR="00C828E4" w:rsidRPr="00DB26B0" w:rsidRDefault="00FE7806" w:rsidP="00216945">
            <w:pPr>
              <w:spacing w:after="120" w:line="240" w:lineRule="auto"/>
              <w:rPr>
                <w:rFonts w:ascii="Arial" w:hAnsi="Arial" w:cs="Arial"/>
              </w:rPr>
            </w:pPr>
            <w:r>
              <w:rPr>
                <w:rFonts w:ascii="Arial" w:hAnsi="Arial" w:cs="Arial"/>
              </w:rPr>
              <w:t xml:space="preserve">Es wird kein Grundwasser entnommen, es fällt kein Abwasser an. Fläche ist bereits versiegelt, Oberflächenwasser wird über Abläufe in Regenwasserkanal der Gemeinde </w:t>
            </w:r>
            <w:proofErr w:type="spellStart"/>
            <w:r>
              <w:rPr>
                <w:rFonts w:ascii="Arial" w:hAnsi="Arial" w:cs="Arial"/>
              </w:rPr>
              <w:t>Garrel</w:t>
            </w:r>
            <w:proofErr w:type="spellEnd"/>
            <w:r>
              <w:rPr>
                <w:rFonts w:ascii="Arial" w:hAnsi="Arial" w:cs="Arial"/>
              </w:rPr>
              <w:t xml:space="preserve"> abgeleitet</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Luft</w:t>
            </w:r>
          </w:p>
        </w:tc>
        <w:tc>
          <w:tcPr>
            <w:tcW w:w="6378" w:type="dxa"/>
            <w:vAlign w:val="center"/>
          </w:tcPr>
          <w:p w:rsidR="003A6C3F" w:rsidRDefault="003A6C3F" w:rsidP="00340659">
            <w:pPr>
              <w:spacing w:after="120" w:line="240" w:lineRule="auto"/>
              <w:rPr>
                <w:rFonts w:ascii="Arial" w:hAnsi="Arial" w:cs="Arial"/>
              </w:rPr>
            </w:pPr>
            <w:r w:rsidRPr="003A6C3F">
              <w:rPr>
                <w:rFonts w:ascii="Arial" w:hAnsi="Arial" w:cs="Arial"/>
              </w:rPr>
              <w:t xml:space="preserve">Bei der Pyrolyse handelt es sich um eine geschlossene Anlage, die in einem Container untergebracht ist. Emissionen können vom Abgaskamin bei der Abführung der Verbrennungsabgase ausgehen. Dazu liegt eine Stellungnahme der Emission Partner GmbH &amp; Co.KG vor. Das Gutachten kommt zu dem Ergebnis, dass die Grenzwerte der 17. BImSchV aufgrund der nachgeschalteten Reinigungsstufen (Zyklon und </w:t>
            </w:r>
            <w:proofErr w:type="spellStart"/>
            <w:r w:rsidRPr="003A6C3F">
              <w:rPr>
                <w:rFonts w:ascii="Arial" w:hAnsi="Arial" w:cs="Arial"/>
              </w:rPr>
              <w:t>Floxbrenner</w:t>
            </w:r>
            <w:proofErr w:type="spellEnd"/>
            <w:r w:rsidRPr="003A6C3F">
              <w:rPr>
                <w:rFonts w:ascii="Arial" w:hAnsi="Arial" w:cs="Arial"/>
              </w:rPr>
              <w:t xml:space="preserve">) dauerhaft unterschritten werden. </w:t>
            </w:r>
          </w:p>
          <w:p w:rsidR="00B512EC" w:rsidRPr="00DB26B0" w:rsidRDefault="003A6C3F" w:rsidP="00340659">
            <w:pPr>
              <w:spacing w:after="120" w:line="240" w:lineRule="auto"/>
              <w:rPr>
                <w:rFonts w:ascii="Arial" w:hAnsi="Arial" w:cs="Arial"/>
              </w:rPr>
            </w:pPr>
            <w:r w:rsidRPr="003A6C3F">
              <w:rPr>
                <w:rFonts w:ascii="Arial" w:hAnsi="Arial" w:cs="Arial"/>
              </w:rPr>
              <w:t>Keine erheblichen nachteiligen Umweltauswirkungen durch Luftschadstoffe.</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Landschaft</w:t>
            </w:r>
          </w:p>
        </w:tc>
        <w:tc>
          <w:tcPr>
            <w:tcW w:w="6378" w:type="dxa"/>
            <w:vAlign w:val="center"/>
          </w:tcPr>
          <w:p w:rsidR="00553D39" w:rsidRPr="00553D39" w:rsidRDefault="00553D39" w:rsidP="00553D39">
            <w:pPr>
              <w:spacing w:after="120" w:line="240" w:lineRule="auto"/>
              <w:rPr>
                <w:rFonts w:ascii="Arial" w:hAnsi="Arial" w:cs="Arial"/>
              </w:rPr>
            </w:pPr>
            <w:r w:rsidRPr="00553D39">
              <w:rPr>
                <w:rFonts w:ascii="Arial" w:hAnsi="Arial" w:cs="Arial"/>
              </w:rPr>
              <w:t xml:space="preserve">Das Betriebsgrundstück liegt im Geltungsbereich des rechtskräftigen Bebauungsplans Nr. 62 „Gewerbegebiet Zur </w:t>
            </w:r>
            <w:proofErr w:type="spellStart"/>
            <w:r w:rsidRPr="00553D39">
              <w:rPr>
                <w:rFonts w:ascii="Arial" w:hAnsi="Arial" w:cs="Arial"/>
              </w:rPr>
              <w:t>Schlagge</w:t>
            </w:r>
            <w:proofErr w:type="spellEnd"/>
            <w:r w:rsidRPr="00553D39">
              <w:rPr>
                <w:rFonts w:ascii="Arial" w:hAnsi="Arial" w:cs="Arial"/>
              </w:rPr>
              <w:t>“.</w:t>
            </w:r>
          </w:p>
          <w:p w:rsidR="0090570A" w:rsidRPr="00DB26B0" w:rsidRDefault="00553D39" w:rsidP="00553D39">
            <w:pPr>
              <w:spacing w:after="120" w:line="240" w:lineRule="auto"/>
              <w:rPr>
                <w:rFonts w:ascii="Arial" w:hAnsi="Arial" w:cs="Arial"/>
              </w:rPr>
            </w:pPr>
            <w:r w:rsidRPr="00553D39">
              <w:rPr>
                <w:rFonts w:ascii="Arial" w:hAnsi="Arial" w:cs="Arial"/>
              </w:rPr>
              <w:t xml:space="preserve">Das Vorhaben entspricht den bauplanungsrechtlichen Festsetzungen. Die bauplanungsrechtliche Zulässigkeit wurde vom Landkreis Cloppenburg geprüft und bejaht; die Gemeinde </w:t>
            </w:r>
            <w:proofErr w:type="spellStart"/>
            <w:r w:rsidRPr="00553D39">
              <w:rPr>
                <w:rFonts w:ascii="Arial" w:hAnsi="Arial" w:cs="Arial"/>
              </w:rPr>
              <w:t>Garrel</w:t>
            </w:r>
            <w:proofErr w:type="spellEnd"/>
            <w:r w:rsidRPr="00553D39">
              <w:rPr>
                <w:rFonts w:ascii="Arial" w:hAnsi="Arial" w:cs="Arial"/>
              </w:rPr>
              <w:t xml:space="preserve"> har ihr Einvernehmen erteilt.</w:t>
            </w:r>
          </w:p>
        </w:tc>
      </w:tr>
    </w:tbl>
    <w:p w:rsidR="00F954AB" w:rsidRDefault="00F954AB" w:rsidP="00DB26B0">
      <w:pPr>
        <w:rPr>
          <w:noProof/>
          <w:sz w:val="18"/>
          <w:szCs w:val="18"/>
        </w:rPr>
      </w:pPr>
    </w:p>
    <w:p w:rsidR="00FE7806" w:rsidRDefault="00FE7806">
      <w:pPr>
        <w:rPr>
          <w:noProof/>
          <w:sz w:val="18"/>
          <w:szCs w:val="18"/>
        </w:rPr>
      </w:pPr>
      <w:r>
        <w:rPr>
          <w:noProof/>
          <w:sz w:val="18"/>
          <w:szCs w:val="18"/>
        </w:rPr>
        <w:br w:type="page"/>
      </w:r>
    </w:p>
    <w:p w:rsidR="001C2906" w:rsidRDefault="001C2906">
      <w:pPr>
        <w:rPr>
          <w:noProof/>
          <w:sz w:val="18"/>
          <w:szCs w:val="18"/>
        </w:rPr>
      </w:pPr>
    </w:p>
    <w:tbl>
      <w:tblPr>
        <w:tblStyle w:val="Tabellenraster"/>
        <w:tblW w:w="9566" w:type="dxa"/>
        <w:tblInd w:w="108" w:type="dxa"/>
        <w:tblLayout w:type="fixed"/>
        <w:tblLook w:val="04A0" w:firstRow="1" w:lastRow="0" w:firstColumn="1" w:lastColumn="0" w:noHBand="0" w:noVBand="1"/>
      </w:tblPr>
      <w:tblGrid>
        <w:gridCol w:w="1560"/>
        <w:gridCol w:w="1845"/>
        <w:gridCol w:w="683"/>
        <w:gridCol w:w="782"/>
        <w:gridCol w:w="782"/>
        <w:gridCol w:w="782"/>
        <w:gridCol w:w="782"/>
        <w:gridCol w:w="782"/>
        <w:gridCol w:w="786"/>
        <w:gridCol w:w="782"/>
      </w:tblGrid>
      <w:tr w:rsidR="005073D9" w:rsidRPr="005073D9" w:rsidTr="00DB26B0">
        <w:trPr>
          <w:trHeight w:val="267"/>
        </w:trPr>
        <w:tc>
          <w:tcPr>
            <w:tcW w:w="1560" w:type="dxa"/>
          </w:tcPr>
          <w:p w:rsidR="005073D9" w:rsidRPr="005073D9" w:rsidRDefault="005073D9" w:rsidP="005073D9">
            <w:pPr>
              <w:rPr>
                <w:rFonts w:ascii="Arial" w:hAnsi="Arial" w:cs="Arial"/>
                <w:noProof/>
                <w:sz w:val="18"/>
                <w:szCs w:val="18"/>
              </w:rPr>
            </w:pPr>
          </w:p>
        </w:tc>
        <w:tc>
          <w:tcPr>
            <w:tcW w:w="1845" w:type="dxa"/>
          </w:tcPr>
          <w:p w:rsidR="005073D9" w:rsidRPr="005073D9" w:rsidRDefault="005073D9" w:rsidP="005073D9">
            <w:pPr>
              <w:rPr>
                <w:rFonts w:ascii="Arial" w:hAnsi="Arial" w:cs="Arial"/>
                <w:noProof/>
                <w:sz w:val="18"/>
                <w:szCs w:val="18"/>
              </w:rPr>
            </w:pPr>
          </w:p>
        </w:tc>
        <w:tc>
          <w:tcPr>
            <w:tcW w:w="5379" w:type="dxa"/>
            <w:gridSpan w:val="7"/>
          </w:tcPr>
          <w:p w:rsidR="005073D9" w:rsidRPr="005073D9" w:rsidRDefault="005073D9" w:rsidP="005073D9">
            <w:pPr>
              <w:rPr>
                <w:rFonts w:ascii="Arial" w:hAnsi="Arial" w:cs="Arial"/>
                <w:b/>
                <w:noProof/>
                <w:sz w:val="18"/>
                <w:szCs w:val="18"/>
              </w:rPr>
            </w:pPr>
            <w:r w:rsidRPr="005073D9">
              <w:rPr>
                <w:rFonts w:ascii="Arial" w:hAnsi="Arial" w:cs="Arial"/>
                <w:b/>
                <w:noProof/>
                <w:sz w:val="18"/>
                <w:szCs w:val="18"/>
              </w:rPr>
              <w:t>Kriterien für die Beurteilung der Auswirkungen</w:t>
            </w:r>
          </w:p>
        </w:tc>
        <w:tc>
          <w:tcPr>
            <w:tcW w:w="782" w:type="dxa"/>
          </w:tcPr>
          <w:p w:rsidR="005073D9" w:rsidRPr="005073D9" w:rsidRDefault="005073D9" w:rsidP="005073D9">
            <w:pPr>
              <w:rPr>
                <w:rFonts w:ascii="Arial" w:hAnsi="Arial" w:cs="Arial"/>
                <w:noProof/>
                <w:sz w:val="18"/>
                <w:szCs w:val="18"/>
              </w:rPr>
            </w:pPr>
          </w:p>
        </w:tc>
      </w:tr>
      <w:tr w:rsidR="005073D9" w:rsidRPr="005073D9" w:rsidTr="00DB26B0">
        <w:trPr>
          <w:cantSplit/>
          <w:trHeight w:val="2054"/>
        </w:trPr>
        <w:tc>
          <w:tcPr>
            <w:tcW w:w="1560" w:type="dxa"/>
          </w:tcPr>
          <w:p w:rsidR="005073D9" w:rsidRPr="005073D9" w:rsidRDefault="005073D9" w:rsidP="005073D9">
            <w:pPr>
              <w:rPr>
                <w:rFonts w:ascii="Arial" w:hAnsi="Arial" w:cs="Arial"/>
                <w:noProof/>
                <w:sz w:val="18"/>
                <w:szCs w:val="18"/>
              </w:rPr>
            </w:pPr>
          </w:p>
        </w:tc>
        <w:tc>
          <w:tcPr>
            <w:tcW w:w="1845" w:type="dxa"/>
          </w:tcPr>
          <w:p w:rsidR="005073D9" w:rsidRPr="005073D9" w:rsidRDefault="005073D9" w:rsidP="005073D9">
            <w:pPr>
              <w:rPr>
                <w:rFonts w:ascii="Arial" w:hAnsi="Arial" w:cs="Arial"/>
                <w:noProof/>
                <w:sz w:val="18"/>
                <w:szCs w:val="18"/>
              </w:rPr>
            </w:pPr>
            <w:r w:rsidRPr="005073D9">
              <w:rPr>
                <w:rFonts w:ascii="Arial" w:hAnsi="Arial" w:cs="Arial"/>
                <w:noProof/>
                <w:sz w:val="18"/>
                <w:szCs w:val="18"/>
              </w:rPr>
              <w:t>bezogen auf den Einwirkungsbereich der Anlage</w:t>
            </w:r>
          </w:p>
        </w:tc>
        <w:tc>
          <w:tcPr>
            <w:tcW w:w="683"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hohes Ausmaß</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geringe  Wiederherstellbarkeit</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Schwere und      Komplexität</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hohe Wahrscheinlichkeit</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lange Dauer</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hohe Häufigkeit</w:t>
            </w:r>
          </w:p>
        </w:tc>
        <w:tc>
          <w:tcPr>
            <w:tcW w:w="786"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grenzüberschreitend</w:t>
            </w:r>
          </w:p>
        </w:tc>
        <w:tc>
          <w:tcPr>
            <w:tcW w:w="782" w:type="dxa"/>
            <w:textDirection w:val="btLr"/>
            <w:vAlign w:val="center"/>
          </w:tcPr>
          <w:p w:rsidR="005073D9" w:rsidRPr="005073D9" w:rsidRDefault="005073D9" w:rsidP="005073D9">
            <w:pPr>
              <w:ind w:left="113" w:right="113" w:hanging="194"/>
              <w:jc w:val="center"/>
              <w:rPr>
                <w:rFonts w:ascii="Arial" w:hAnsi="Arial" w:cs="Arial"/>
                <w:b/>
                <w:noProof/>
                <w:sz w:val="18"/>
                <w:szCs w:val="18"/>
              </w:rPr>
            </w:pPr>
            <w:r w:rsidRPr="005073D9">
              <w:rPr>
                <w:rFonts w:ascii="Arial" w:hAnsi="Arial" w:cs="Arial"/>
                <w:b/>
                <w:noProof/>
                <w:sz w:val="18"/>
                <w:szCs w:val="18"/>
              </w:rPr>
              <w:t>Keine erheblichen Auswirkungen</w:t>
            </w:r>
          </w:p>
        </w:tc>
      </w:tr>
      <w:tr w:rsidR="005073D9" w:rsidRPr="005073D9" w:rsidTr="00DB26B0">
        <w:trPr>
          <w:cantSplit/>
          <w:trHeight w:val="278"/>
        </w:trPr>
        <w:tc>
          <w:tcPr>
            <w:tcW w:w="1560" w:type="dxa"/>
          </w:tcPr>
          <w:p w:rsidR="005073D9" w:rsidRPr="005073D9" w:rsidRDefault="005073D9" w:rsidP="005073D9">
            <w:pPr>
              <w:rPr>
                <w:rFonts w:ascii="Arial" w:hAnsi="Arial" w:cs="Arial"/>
                <w:noProof/>
                <w:sz w:val="18"/>
                <w:szCs w:val="18"/>
              </w:rPr>
            </w:pPr>
            <w:r w:rsidRPr="005073D9">
              <w:rPr>
                <w:rFonts w:ascii="Arial" w:hAnsi="Arial" w:cs="Arial"/>
                <w:sz w:val="18"/>
                <w:szCs w:val="18"/>
              </w:rPr>
              <w:t>2.1</w:t>
            </w:r>
          </w:p>
        </w:tc>
        <w:tc>
          <w:tcPr>
            <w:tcW w:w="1845" w:type="dxa"/>
          </w:tcPr>
          <w:p w:rsidR="005073D9" w:rsidRPr="005073D9" w:rsidRDefault="005073D9" w:rsidP="005073D9">
            <w:pPr>
              <w:rPr>
                <w:rFonts w:ascii="Arial" w:hAnsi="Arial" w:cs="Arial"/>
                <w:noProof/>
                <w:sz w:val="18"/>
                <w:szCs w:val="18"/>
              </w:rPr>
            </w:pPr>
            <w:r w:rsidRPr="005073D9">
              <w:rPr>
                <w:rFonts w:ascii="Arial" w:hAnsi="Arial" w:cs="Arial"/>
                <w:sz w:val="18"/>
                <w:szCs w:val="18"/>
              </w:rPr>
              <w:t>Menschen</w:t>
            </w:r>
          </w:p>
        </w:tc>
        <w:sdt>
          <w:sdtPr>
            <w:rPr>
              <w:noProof/>
              <w:sz w:val="18"/>
              <w:szCs w:val="18"/>
            </w:rPr>
            <w:id w:val="-1913006151"/>
            <w14:checkbox>
              <w14:checked w14:val="0"/>
              <w14:checkedState w14:val="2612" w14:font="MS Gothic"/>
              <w14:uncheckedState w14:val="2610" w14:font="MS Gothic"/>
            </w14:checkbox>
          </w:sdtPr>
          <w:sdtEndPr/>
          <w:sdtContent>
            <w:tc>
              <w:tcPr>
                <w:tcW w:w="683" w:type="dxa"/>
                <w:vAlign w:val="center"/>
              </w:tcPr>
              <w:p w:rsidR="005073D9" w:rsidRPr="005073D9" w:rsidRDefault="006E6F10"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sdt>
          <w:sdtPr>
            <w:rPr>
              <w:noProof/>
              <w:sz w:val="18"/>
              <w:szCs w:val="18"/>
            </w:rPr>
            <w:id w:val="-167509880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91978383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8480850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6928214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766020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9424434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022815040"/>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2.2 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Tiere</w:t>
            </w:r>
          </w:p>
        </w:tc>
        <w:sdt>
          <w:sdtPr>
            <w:rPr>
              <w:noProof/>
              <w:sz w:val="18"/>
              <w:szCs w:val="18"/>
            </w:rPr>
            <w:id w:val="308599740"/>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8026390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78123021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6297916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2892519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4610952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781185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69989512"/>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2.3 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Pflanzen</w:t>
            </w:r>
          </w:p>
        </w:tc>
        <w:sdt>
          <w:sdtPr>
            <w:rPr>
              <w:noProof/>
              <w:sz w:val="18"/>
              <w:szCs w:val="18"/>
            </w:rPr>
            <w:id w:val="202993487"/>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41784589"/>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4185462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7209959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5803936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0319461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353651128"/>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78250595"/>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2.4 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Boden</w:t>
            </w:r>
          </w:p>
        </w:tc>
        <w:sdt>
          <w:sdtPr>
            <w:rPr>
              <w:noProof/>
              <w:sz w:val="18"/>
              <w:szCs w:val="18"/>
            </w:rPr>
            <w:id w:val="-1554227582"/>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84135618"/>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6917123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8593196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82727670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73354802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317878310"/>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40062384"/>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2.5 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Wasser</w:t>
            </w:r>
          </w:p>
        </w:tc>
        <w:sdt>
          <w:sdtPr>
            <w:rPr>
              <w:noProof/>
              <w:sz w:val="18"/>
              <w:szCs w:val="18"/>
            </w:rPr>
            <w:id w:val="775837291"/>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80018989"/>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21095383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01202260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9085198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97637156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75548129"/>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15501300"/>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2.6 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Luft</w:t>
            </w:r>
          </w:p>
        </w:tc>
        <w:sdt>
          <w:sdtPr>
            <w:rPr>
              <w:noProof/>
              <w:sz w:val="18"/>
              <w:szCs w:val="18"/>
            </w:rPr>
            <w:id w:val="-957106617"/>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15321014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97399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54020752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692830058"/>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3352879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0626317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95493786"/>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2.7 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Klima</w:t>
            </w:r>
          </w:p>
        </w:tc>
        <w:sdt>
          <w:sdtPr>
            <w:rPr>
              <w:noProof/>
              <w:sz w:val="18"/>
              <w:szCs w:val="18"/>
            </w:rPr>
            <w:id w:val="636529188"/>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32158021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5283501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6949851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55208098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57322938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304145536"/>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93619932"/>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2.8 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Landschaft</w:t>
            </w:r>
          </w:p>
        </w:tc>
        <w:sdt>
          <w:sdtPr>
            <w:rPr>
              <w:noProof/>
              <w:sz w:val="18"/>
              <w:szCs w:val="18"/>
            </w:rPr>
            <w:id w:val="-2065403389"/>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7297342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8947828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91612307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7457529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7896693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896997813"/>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395847256"/>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2.9 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Kultur- und sonstige Sachgüter</w:t>
            </w:r>
          </w:p>
        </w:tc>
        <w:sdt>
          <w:sdtPr>
            <w:rPr>
              <w:noProof/>
              <w:sz w:val="18"/>
              <w:szCs w:val="18"/>
            </w:rPr>
            <w:id w:val="-1549833747"/>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0125549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2988952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10303817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5871094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1992370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51525733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54842642"/>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bl>
    <w:p w:rsidR="009731CC" w:rsidRDefault="009731CC" w:rsidP="009731CC">
      <w:pPr>
        <w:rPr>
          <w:noProof/>
        </w:rPr>
      </w:pPr>
    </w:p>
    <w:p w:rsidR="00EE0BD5" w:rsidRDefault="00DA1E1E" w:rsidP="00EE0BD5">
      <w:pPr>
        <w:jc w:val="center"/>
        <w:rPr>
          <w:noProof/>
        </w:rPr>
      </w:pPr>
      <w:r w:rsidRPr="006D597E">
        <w:rPr>
          <w:b/>
          <w:noProof/>
        </w:rPr>
        <w:t>Begründung</w:t>
      </w:r>
    </w:p>
    <w:p w:rsidR="005073D9" w:rsidRPr="003A6C3F" w:rsidRDefault="00DA1E1E" w:rsidP="00EE0BD5">
      <w:pPr>
        <w:jc w:val="center"/>
        <w:rPr>
          <w:b/>
          <w:noProof/>
        </w:rPr>
      </w:pPr>
      <w:r w:rsidRPr="003A6C3F">
        <w:rPr>
          <w:b/>
          <w:noProof/>
        </w:rPr>
        <w:t>weshalb erhebliche nachteilige Auswirkungen auf die in § 1 BImSchG genannten Schutzgüter nicht zu besorgen sind</w:t>
      </w:r>
    </w:p>
    <w:p w:rsidR="00494DE7" w:rsidRDefault="00494DE7" w:rsidP="009731CC">
      <w:pPr>
        <w:rPr>
          <w:noProof/>
        </w:rPr>
      </w:pPr>
    </w:p>
    <w:p w:rsidR="008C55E1" w:rsidRDefault="00494DE7" w:rsidP="009731CC">
      <w:pPr>
        <w:rPr>
          <w:noProof/>
        </w:rPr>
      </w:pPr>
      <w:r>
        <w:rPr>
          <w:noProof/>
        </w:rPr>
        <w:t xml:space="preserve">Gegenstand des beantragten Vorhabens ist </w:t>
      </w:r>
      <w:r w:rsidR="00DE7F70" w:rsidRPr="00DE7F70">
        <w:rPr>
          <w:noProof/>
        </w:rPr>
        <w:t xml:space="preserve">die </w:t>
      </w:r>
      <w:r w:rsidR="00553D39" w:rsidRPr="00553D39">
        <w:rPr>
          <w:noProof/>
        </w:rPr>
        <w:t>Errichtung einer Pyrolyseanlage zur Herstellung von Aktivkohle (Versuchsanlage) und deren Betrieb für 24 Monate</w:t>
      </w:r>
      <w:r w:rsidR="00DE7F70">
        <w:rPr>
          <w:noProof/>
        </w:rPr>
        <w:t>.</w:t>
      </w:r>
    </w:p>
    <w:p w:rsidR="003A6C3F" w:rsidRDefault="003A6C3F" w:rsidP="009731CC">
      <w:pPr>
        <w:rPr>
          <w:noProof/>
        </w:rPr>
      </w:pPr>
    </w:p>
    <w:p w:rsidR="003A6C3F" w:rsidRDefault="003A6C3F" w:rsidP="003A6C3F">
      <w:pPr>
        <w:rPr>
          <w:noProof/>
        </w:rPr>
      </w:pPr>
      <w:r>
        <w:rPr>
          <w:noProof/>
        </w:rPr>
        <w:t xml:space="preserve">Die beantragten Maßnahmen </w:t>
      </w:r>
      <w:r>
        <w:rPr>
          <w:noProof/>
        </w:rPr>
        <w:t xml:space="preserve">haben keine erheblichen nachteiligen </w:t>
      </w:r>
      <w:r>
        <w:rPr>
          <w:noProof/>
        </w:rPr>
        <w:t xml:space="preserve">Auswirkungen auf die Schutzgüter Boden und Natur und Landschaft. Es </w:t>
      </w:r>
      <w:r>
        <w:rPr>
          <w:noProof/>
        </w:rPr>
        <w:t xml:space="preserve">erfolgt </w:t>
      </w:r>
      <w:r>
        <w:rPr>
          <w:noProof/>
        </w:rPr>
        <w:t xml:space="preserve">innerhalb einer intensiv genutzten Gewerbefläche </w:t>
      </w:r>
      <w:r>
        <w:rPr>
          <w:noProof/>
        </w:rPr>
        <w:t>keine Neuv</w:t>
      </w:r>
      <w:r>
        <w:rPr>
          <w:noProof/>
        </w:rPr>
        <w:t>ersiegel</w:t>
      </w:r>
      <w:r>
        <w:rPr>
          <w:noProof/>
        </w:rPr>
        <w:t xml:space="preserve">ung. </w:t>
      </w:r>
      <w:r>
        <w:rPr>
          <w:noProof/>
        </w:rPr>
        <w:t xml:space="preserve">Es sind keine besonders schützenswerte Gebiete in der Umgebung der Anlage vorhanden, </w:t>
      </w:r>
      <w:r w:rsidRPr="00DE7F70">
        <w:rPr>
          <w:noProof/>
        </w:rPr>
        <w:t>d</w:t>
      </w:r>
      <w:r>
        <w:rPr>
          <w:noProof/>
        </w:rPr>
        <w:t>ie d</w:t>
      </w:r>
      <w:r w:rsidRPr="00DE7F70">
        <w:rPr>
          <w:noProof/>
        </w:rPr>
        <w:t>urch das Vorhaben beeinträchtigt</w:t>
      </w:r>
      <w:r>
        <w:rPr>
          <w:noProof/>
        </w:rPr>
        <w:t xml:space="preserve"> werden könnten. </w:t>
      </w:r>
      <w:r>
        <w:rPr>
          <w:noProof/>
        </w:rPr>
        <w:t>Daher sind k</w:t>
      </w:r>
      <w:r>
        <w:rPr>
          <w:noProof/>
        </w:rPr>
        <w:t>eine Beeinträchtigungen der Leistungsfähigkeit des Naturhaushaltes oder des Landschaftsbildes bei der UVP-Vorprüfung zu berücksichtigen.</w:t>
      </w:r>
    </w:p>
    <w:p w:rsidR="003A6C3F" w:rsidRDefault="003A6C3F" w:rsidP="003A6C3F">
      <w:pPr>
        <w:rPr>
          <w:noProof/>
        </w:rPr>
      </w:pPr>
    </w:p>
    <w:p w:rsidR="003A6C3F" w:rsidRDefault="003A6C3F" w:rsidP="003A6C3F">
      <w:pPr>
        <w:rPr>
          <w:noProof/>
        </w:rPr>
      </w:pPr>
      <w:r>
        <w:rPr>
          <w:noProof/>
        </w:rPr>
        <w:t>Im Hinblick auf den Immissionsschutz kann zusammenfassend festgestellt</w:t>
      </w:r>
      <w:r>
        <w:rPr>
          <w:noProof/>
        </w:rPr>
        <w:t xml:space="preserve"> werden,</w:t>
      </w:r>
      <w:r>
        <w:rPr>
          <w:noProof/>
        </w:rPr>
        <w:t xml:space="preserve"> dass beim be</w:t>
      </w:r>
      <w:r>
        <w:rPr>
          <w:noProof/>
        </w:rPr>
        <w:t>stimmungsgemäßen Betrieb</w:t>
      </w:r>
      <w:r>
        <w:rPr>
          <w:noProof/>
        </w:rPr>
        <w:t xml:space="preserve"> die von der Anlage ausgehende Emissionen oder Immissionen nicht relevant bzw. vernachlässigbar sind und auch zu keinen Immissionsschutzproblemen führen, da lediglich geringe Mengen der gehandhabten Stoffe freigesetzt werden.</w:t>
      </w:r>
    </w:p>
    <w:p w:rsidR="003A6C3F" w:rsidRDefault="003A6C3F" w:rsidP="003A6C3F">
      <w:pPr>
        <w:rPr>
          <w:noProof/>
        </w:rPr>
      </w:pPr>
    </w:p>
    <w:p w:rsidR="00880ECB" w:rsidRDefault="00880ECB" w:rsidP="00880ECB">
      <w:pPr>
        <w:rPr>
          <w:noProof/>
        </w:rPr>
      </w:pPr>
      <w:r w:rsidRPr="00471CE9">
        <w:rPr>
          <w:noProof/>
        </w:rPr>
        <w:t>In der Versuchsanlage werden Abfälle verwertet. Als Produkt entsteht hierbei Aktivkohle, die einer Vermarktung zugeführt wird. Es entsteht kein Abfall.</w:t>
      </w:r>
    </w:p>
    <w:p w:rsidR="00880ECB" w:rsidRDefault="00880ECB" w:rsidP="00880ECB">
      <w:pPr>
        <w:rPr>
          <w:noProof/>
        </w:rPr>
      </w:pPr>
    </w:p>
    <w:p w:rsidR="003A6C3F" w:rsidRDefault="003A6C3F" w:rsidP="003A6C3F">
      <w:pPr>
        <w:rPr>
          <w:noProof/>
        </w:rPr>
      </w:pPr>
      <w:r>
        <w:rPr>
          <w:noProof/>
        </w:rPr>
        <w:t>S</w:t>
      </w:r>
      <w:r>
        <w:rPr>
          <w:noProof/>
        </w:rPr>
        <w:t xml:space="preserve">chädliche Umwelteinwirkungen und sonstige Gefahren, erhebliche Nachteile und erhebliche Belästigungen für die Allgemeinheit und die Nachbarschaft </w:t>
      </w:r>
      <w:r>
        <w:rPr>
          <w:noProof/>
        </w:rPr>
        <w:t xml:space="preserve">können durch das Vorhaben </w:t>
      </w:r>
      <w:r>
        <w:rPr>
          <w:noProof/>
        </w:rPr>
        <w:t>nicht hervorgerufen werden</w:t>
      </w:r>
      <w:r>
        <w:rPr>
          <w:noProof/>
        </w:rPr>
        <w:t>.</w:t>
      </w:r>
    </w:p>
    <w:p w:rsidR="00DE7F70" w:rsidRDefault="00DE7F70" w:rsidP="009731CC">
      <w:pPr>
        <w:rPr>
          <w:noProof/>
        </w:rPr>
      </w:pPr>
    </w:p>
    <w:p w:rsidR="00FE7806" w:rsidRPr="00B74914" w:rsidRDefault="003A6C3F" w:rsidP="00B74914">
      <w:pPr>
        <w:rPr>
          <w:b/>
          <w:noProof/>
        </w:rPr>
      </w:pPr>
      <w:bookmarkStart w:id="0" w:name="_GoBack"/>
      <w:bookmarkEnd w:id="0"/>
      <w:r>
        <w:rPr>
          <w:noProof/>
        </w:rPr>
        <w:tab/>
      </w:r>
      <w:r>
        <w:rPr>
          <w:noProof/>
        </w:rPr>
        <w:tab/>
      </w:r>
      <w:r>
        <w:rPr>
          <w:noProof/>
        </w:rPr>
        <w:tab/>
      </w:r>
      <w:r>
        <w:rPr>
          <w:noProof/>
        </w:rPr>
        <w:tab/>
      </w:r>
      <w:r>
        <w:rPr>
          <w:noProof/>
        </w:rPr>
        <w:tab/>
      </w:r>
      <w:r w:rsidRPr="00DB26B0">
        <w:rPr>
          <w:noProof/>
        </w:rPr>
        <w:t>Im Auf</w:t>
      </w:r>
      <w:r>
        <w:rPr>
          <w:noProof/>
        </w:rPr>
        <w:t>t</w:t>
      </w:r>
      <w:r w:rsidRPr="00DB26B0">
        <w:rPr>
          <w:noProof/>
        </w:rPr>
        <w:t>rage</w:t>
      </w:r>
    </w:p>
    <w:p w:rsidR="00DB26B0" w:rsidRDefault="00DB26B0" w:rsidP="00DB26B0">
      <w:pPr>
        <w:rPr>
          <w:noProof/>
        </w:rPr>
      </w:pPr>
    </w:p>
    <w:p w:rsidR="003A6C3F" w:rsidRDefault="003A6C3F" w:rsidP="00DB26B0">
      <w:pPr>
        <w:rPr>
          <w:noProof/>
        </w:rPr>
      </w:pPr>
    </w:p>
    <w:p w:rsidR="003A6C3F" w:rsidRPr="00DB26B0" w:rsidRDefault="003A6C3F" w:rsidP="00DB26B0">
      <w:pPr>
        <w:rPr>
          <w:noProof/>
        </w:rPr>
      </w:pPr>
    </w:p>
    <w:p w:rsidR="003A6C3F" w:rsidRDefault="00C828E4" w:rsidP="00DB26B0">
      <w:pPr>
        <w:rPr>
          <w:noProof/>
        </w:rPr>
      </w:pPr>
      <w:r>
        <w:rPr>
          <w:noProof/>
        </w:rPr>
        <w:t>Oldenburg,</w:t>
      </w:r>
      <w:r w:rsidR="00DB26B0" w:rsidRPr="00DB26B0">
        <w:rPr>
          <w:noProof/>
        </w:rPr>
        <w:t xml:space="preserve"> den </w:t>
      </w:r>
      <w:r w:rsidR="00553D39">
        <w:rPr>
          <w:noProof/>
        </w:rPr>
        <w:t>17</w:t>
      </w:r>
      <w:r w:rsidR="00B512EC">
        <w:rPr>
          <w:noProof/>
        </w:rPr>
        <w:t>.</w:t>
      </w:r>
      <w:r w:rsidR="00B74914">
        <w:rPr>
          <w:noProof/>
        </w:rPr>
        <w:t>1</w:t>
      </w:r>
      <w:r w:rsidR="00553D39">
        <w:rPr>
          <w:noProof/>
        </w:rPr>
        <w:t>2</w:t>
      </w:r>
      <w:r>
        <w:rPr>
          <w:noProof/>
        </w:rPr>
        <w:t>.201</w:t>
      </w:r>
      <w:r w:rsidR="00B512EC">
        <w:rPr>
          <w:noProof/>
        </w:rPr>
        <w:t>9</w:t>
      </w:r>
      <w:r w:rsidR="003A6C3F">
        <w:rPr>
          <w:noProof/>
        </w:rPr>
        <w:tab/>
      </w:r>
      <w:r w:rsidR="003A6C3F">
        <w:rPr>
          <w:noProof/>
        </w:rPr>
        <w:tab/>
      </w:r>
      <w:r w:rsidR="00DB26B0" w:rsidRPr="00DB26B0">
        <w:rPr>
          <w:noProof/>
        </w:rPr>
        <w:t>......................</w:t>
      </w:r>
    </w:p>
    <w:sectPr w:rsidR="003A6C3F" w:rsidSect="009726EC">
      <w:pgSz w:w="11906" w:h="16838"/>
      <w:pgMar w:top="1417" w:right="128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B5E"/>
    <w:multiLevelType w:val="hybridMultilevel"/>
    <w:tmpl w:val="4A0C2692"/>
    <w:lvl w:ilvl="0" w:tplc="1DCEDE6E">
      <w:start w:val="1"/>
      <w:numFmt w:val="decimal"/>
      <w:lvlText w:val="%1."/>
      <w:lvlJc w:val="left"/>
      <w:pPr>
        <w:ind w:left="786" w:hanging="360"/>
      </w:pPr>
      <w:rPr>
        <w:rFonts w:ascii="Arial" w:hAnsi="Arial" w:cs="Arial"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060CE1"/>
    <w:multiLevelType w:val="hybridMultilevel"/>
    <w:tmpl w:val="71925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D2FBC"/>
    <w:multiLevelType w:val="hybridMultilevel"/>
    <w:tmpl w:val="1C347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96733"/>
    <w:multiLevelType w:val="hybridMultilevel"/>
    <w:tmpl w:val="BCC426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07BF4"/>
    <w:multiLevelType w:val="multilevel"/>
    <w:tmpl w:val="4A9A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508AD"/>
    <w:multiLevelType w:val="hybridMultilevel"/>
    <w:tmpl w:val="3182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4A2740"/>
    <w:multiLevelType w:val="hybridMultilevel"/>
    <w:tmpl w:val="E2F0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DE"/>
    <w:rsid w:val="00013B6D"/>
    <w:rsid w:val="00017A99"/>
    <w:rsid w:val="00033779"/>
    <w:rsid w:val="00036A17"/>
    <w:rsid w:val="0004726F"/>
    <w:rsid w:val="00052515"/>
    <w:rsid w:val="00052B93"/>
    <w:rsid w:val="00070BDE"/>
    <w:rsid w:val="00096DF9"/>
    <w:rsid w:val="000A2FC2"/>
    <w:rsid w:val="000C0132"/>
    <w:rsid w:val="000C42C4"/>
    <w:rsid w:val="000C60CA"/>
    <w:rsid w:val="000C6948"/>
    <w:rsid w:val="000E0BC2"/>
    <w:rsid w:val="000E2D13"/>
    <w:rsid w:val="000E66C8"/>
    <w:rsid w:val="000E7035"/>
    <w:rsid w:val="000E7719"/>
    <w:rsid w:val="000F530C"/>
    <w:rsid w:val="00143C12"/>
    <w:rsid w:val="00153ABA"/>
    <w:rsid w:val="00154717"/>
    <w:rsid w:val="00157986"/>
    <w:rsid w:val="00170AFA"/>
    <w:rsid w:val="00174670"/>
    <w:rsid w:val="001848C5"/>
    <w:rsid w:val="001A1891"/>
    <w:rsid w:val="001C18CF"/>
    <w:rsid w:val="001C2906"/>
    <w:rsid w:val="001C43F5"/>
    <w:rsid w:val="001C7F90"/>
    <w:rsid w:val="001D10BB"/>
    <w:rsid w:val="001D5DE6"/>
    <w:rsid w:val="001E29C3"/>
    <w:rsid w:val="001E59CD"/>
    <w:rsid w:val="001F3F15"/>
    <w:rsid w:val="001F680A"/>
    <w:rsid w:val="0020689B"/>
    <w:rsid w:val="00216945"/>
    <w:rsid w:val="00216D80"/>
    <w:rsid w:val="00244451"/>
    <w:rsid w:val="002503F4"/>
    <w:rsid w:val="00261659"/>
    <w:rsid w:val="00265CE1"/>
    <w:rsid w:val="002675A3"/>
    <w:rsid w:val="00281259"/>
    <w:rsid w:val="002961B7"/>
    <w:rsid w:val="00297590"/>
    <w:rsid w:val="002A355A"/>
    <w:rsid w:val="002A64B0"/>
    <w:rsid w:val="002D0D17"/>
    <w:rsid w:val="002D55A7"/>
    <w:rsid w:val="002E0998"/>
    <w:rsid w:val="002E14D5"/>
    <w:rsid w:val="003029B2"/>
    <w:rsid w:val="00311920"/>
    <w:rsid w:val="00312916"/>
    <w:rsid w:val="00317E31"/>
    <w:rsid w:val="00324AC2"/>
    <w:rsid w:val="00326789"/>
    <w:rsid w:val="00326B2C"/>
    <w:rsid w:val="00333AE8"/>
    <w:rsid w:val="00340659"/>
    <w:rsid w:val="00347882"/>
    <w:rsid w:val="00352583"/>
    <w:rsid w:val="003578FD"/>
    <w:rsid w:val="003634CC"/>
    <w:rsid w:val="00376F6A"/>
    <w:rsid w:val="00380D8D"/>
    <w:rsid w:val="0038708D"/>
    <w:rsid w:val="0039732D"/>
    <w:rsid w:val="003A20A1"/>
    <w:rsid w:val="003A320E"/>
    <w:rsid w:val="003A4BEF"/>
    <w:rsid w:val="003A6C3F"/>
    <w:rsid w:val="003A7A4E"/>
    <w:rsid w:val="003C25DA"/>
    <w:rsid w:val="003C7F56"/>
    <w:rsid w:val="003D01AA"/>
    <w:rsid w:val="0041059C"/>
    <w:rsid w:val="00412658"/>
    <w:rsid w:val="00417FC0"/>
    <w:rsid w:val="004237B9"/>
    <w:rsid w:val="00432BFE"/>
    <w:rsid w:val="004339D7"/>
    <w:rsid w:val="00443E30"/>
    <w:rsid w:val="0046208D"/>
    <w:rsid w:val="00462485"/>
    <w:rsid w:val="00462A62"/>
    <w:rsid w:val="00471CE9"/>
    <w:rsid w:val="00494DE7"/>
    <w:rsid w:val="004A15E4"/>
    <w:rsid w:val="004A2D33"/>
    <w:rsid w:val="004B4D59"/>
    <w:rsid w:val="004B6001"/>
    <w:rsid w:val="004C21BA"/>
    <w:rsid w:val="004E2583"/>
    <w:rsid w:val="004E5F4A"/>
    <w:rsid w:val="004E65E4"/>
    <w:rsid w:val="004E74A9"/>
    <w:rsid w:val="004F0384"/>
    <w:rsid w:val="004F0B6F"/>
    <w:rsid w:val="005073D9"/>
    <w:rsid w:val="00513071"/>
    <w:rsid w:val="00533E3D"/>
    <w:rsid w:val="00537456"/>
    <w:rsid w:val="0054036C"/>
    <w:rsid w:val="0054609C"/>
    <w:rsid w:val="00553D39"/>
    <w:rsid w:val="00564E99"/>
    <w:rsid w:val="00564F6F"/>
    <w:rsid w:val="00570661"/>
    <w:rsid w:val="00574694"/>
    <w:rsid w:val="005752F5"/>
    <w:rsid w:val="005807D4"/>
    <w:rsid w:val="00594CE3"/>
    <w:rsid w:val="005A1103"/>
    <w:rsid w:val="005C5F38"/>
    <w:rsid w:val="005D6392"/>
    <w:rsid w:val="005E6EE0"/>
    <w:rsid w:val="005F1F5C"/>
    <w:rsid w:val="00600538"/>
    <w:rsid w:val="00605365"/>
    <w:rsid w:val="00607811"/>
    <w:rsid w:val="0062356F"/>
    <w:rsid w:val="00626F99"/>
    <w:rsid w:val="00640348"/>
    <w:rsid w:val="00644550"/>
    <w:rsid w:val="00665820"/>
    <w:rsid w:val="00682978"/>
    <w:rsid w:val="0068702B"/>
    <w:rsid w:val="00697100"/>
    <w:rsid w:val="006A4D15"/>
    <w:rsid w:val="006B47A4"/>
    <w:rsid w:val="006B6696"/>
    <w:rsid w:val="006D597E"/>
    <w:rsid w:val="006E47D3"/>
    <w:rsid w:val="006E6F10"/>
    <w:rsid w:val="007144D1"/>
    <w:rsid w:val="00723B50"/>
    <w:rsid w:val="00747470"/>
    <w:rsid w:val="00747CE7"/>
    <w:rsid w:val="00752732"/>
    <w:rsid w:val="0075376B"/>
    <w:rsid w:val="00754F32"/>
    <w:rsid w:val="00760813"/>
    <w:rsid w:val="00767C8C"/>
    <w:rsid w:val="00780D63"/>
    <w:rsid w:val="007861BC"/>
    <w:rsid w:val="0079497F"/>
    <w:rsid w:val="007C13A7"/>
    <w:rsid w:val="007C2B7B"/>
    <w:rsid w:val="007C6747"/>
    <w:rsid w:val="007D1285"/>
    <w:rsid w:val="007D7D00"/>
    <w:rsid w:val="007F0709"/>
    <w:rsid w:val="007F1123"/>
    <w:rsid w:val="00804536"/>
    <w:rsid w:val="00805DB1"/>
    <w:rsid w:val="00810ABB"/>
    <w:rsid w:val="00813571"/>
    <w:rsid w:val="008137E8"/>
    <w:rsid w:val="00814728"/>
    <w:rsid w:val="00831709"/>
    <w:rsid w:val="00842BA3"/>
    <w:rsid w:val="00846C92"/>
    <w:rsid w:val="00853685"/>
    <w:rsid w:val="0086737C"/>
    <w:rsid w:val="008702CD"/>
    <w:rsid w:val="00880ECB"/>
    <w:rsid w:val="008825B9"/>
    <w:rsid w:val="00891430"/>
    <w:rsid w:val="00893EA9"/>
    <w:rsid w:val="008B1083"/>
    <w:rsid w:val="008C3C30"/>
    <w:rsid w:val="008C4F59"/>
    <w:rsid w:val="008C55E1"/>
    <w:rsid w:val="008D48D9"/>
    <w:rsid w:val="008E352D"/>
    <w:rsid w:val="008E5A6A"/>
    <w:rsid w:val="008E738F"/>
    <w:rsid w:val="008F31A8"/>
    <w:rsid w:val="0090570A"/>
    <w:rsid w:val="00920F1A"/>
    <w:rsid w:val="00936107"/>
    <w:rsid w:val="00964D0D"/>
    <w:rsid w:val="00966B70"/>
    <w:rsid w:val="00967C3E"/>
    <w:rsid w:val="00970AF9"/>
    <w:rsid w:val="00971E48"/>
    <w:rsid w:val="009731CC"/>
    <w:rsid w:val="00985A67"/>
    <w:rsid w:val="009865BF"/>
    <w:rsid w:val="00987527"/>
    <w:rsid w:val="009A3202"/>
    <w:rsid w:val="009D29BA"/>
    <w:rsid w:val="009F1E37"/>
    <w:rsid w:val="009F4A38"/>
    <w:rsid w:val="00A12980"/>
    <w:rsid w:val="00A17268"/>
    <w:rsid w:val="00A17539"/>
    <w:rsid w:val="00A2326B"/>
    <w:rsid w:val="00A3006B"/>
    <w:rsid w:val="00A506B1"/>
    <w:rsid w:val="00A6347C"/>
    <w:rsid w:val="00A67AFD"/>
    <w:rsid w:val="00A70078"/>
    <w:rsid w:val="00A805C8"/>
    <w:rsid w:val="00A8247D"/>
    <w:rsid w:val="00A83981"/>
    <w:rsid w:val="00A91335"/>
    <w:rsid w:val="00A919BE"/>
    <w:rsid w:val="00AA1085"/>
    <w:rsid w:val="00AA12EF"/>
    <w:rsid w:val="00AD183A"/>
    <w:rsid w:val="00AE43CB"/>
    <w:rsid w:val="00AE6573"/>
    <w:rsid w:val="00B000AF"/>
    <w:rsid w:val="00B000D6"/>
    <w:rsid w:val="00B0213E"/>
    <w:rsid w:val="00B126A0"/>
    <w:rsid w:val="00B13935"/>
    <w:rsid w:val="00B20445"/>
    <w:rsid w:val="00B40745"/>
    <w:rsid w:val="00B512EC"/>
    <w:rsid w:val="00B52484"/>
    <w:rsid w:val="00B55509"/>
    <w:rsid w:val="00B67501"/>
    <w:rsid w:val="00B74914"/>
    <w:rsid w:val="00B777B2"/>
    <w:rsid w:val="00B86067"/>
    <w:rsid w:val="00B91326"/>
    <w:rsid w:val="00B91ECE"/>
    <w:rsid w:val="00B9778C"/>
    <w:rsid w:val="00BA05C6"/>
    <w:rsid w:val="00BA276A"/>
    <w:rsid w:val="00BA6463"/>
    <w:rsid w:val="00BB602E"/>
    <w:rsid w:val="00BB683B"/>
    <w:rsid w:val="00BC38F5"/>
    <w:rsid w:val="00BC5686"/>
    <w:rsid w:val="00BD6C16"/>
    <w:rsid w:val="00BE3C2F"/>
    <w:rsid w:val="00BF75E1"/>
    <w:rsid w:val="00C00D79"/>
    <w:rsid w:val="00C03E03"/>
    <w:rsid w:val="00C11D61"/>
    <w:rsid w:val="00C12EE7"/>
    <w:rsid w:val="00C152D8"/>
    <w:rsid w:val="00C16A37"/>
    <w:rsid w:val="00C174DB"/>
    <w:rsid w:val="00C2748D"/>
    <w:rsid w:val="00C47853"/>
    <w:rsid w:val="00C532E3"/>
    <w:rsid w:val="00C53C62"/>
    <w:rsid w:val="00C677DA"/>
    <w:rsid w:val="00C73CA8"/>
    <w:rsid w:val="00C81293"/>
    <w:rsid w:val="00C828E4"/>
    <w:rsid w:val="00C83F75"/>
    <w:rsid w:val="00C84141"/>
    <w:rsid w:val="00C87C03"/>
    <w:rsid w:val="00CB086A"/>
    <w:rsid w:val="00CB34F5"/>
    <w:rsid w:val="00CB7D29"/>
    <w:rsid w:val="00CD2190"/>
    <w:rsid w:val="00CF3323"/>
    <w:rsid w:val="00D024D1"/>
    <w:rsid w:val="00D1353D"/>
    <w:rsid w:val="00D42D61"/>
    <w:rsid w:val="00D44722"/>
    <w:rsid w:val="00D455DE"/>
    <w:rsid w:val="00D61683"/>
    <w:rsid w:val="00D639ED"/>
    <w:rsid w:val="00D77419"/>
    <w:rsid w:val="00D81E39"/>
    <w:rsid w:val="00D92381"/>
    <w:rsid w:val="00DA1E1E"/>
    <w:rsid w:val="00DA2792"/>
    <w:rsid w:val="00DB08FE"/>
    <w:rsid w:val="00DB26B0"/>
    <w:rsid w:val="00DB4A07"/>
    <w:rsid w:val="00DC213E"/>
    <w:rsid w:val="00DD2031"/>
    <w:rsid w:val="00DD449C"/>
    <w:rsid w:val="00DE0DE2"/>
    <w:rsid w:val="00DE4F45"/>
    <w:rsid w:val="00DE6DF0"/>
    <w:rsid w:val="00DE75DD"/>
    <w:rsid w:val="00DE7948"/>
    <w:rsid w:val="00DE7F70"/>
    <w:rsid w:val="00DF45B3"/>
    <w:rsid w:val="00DF6236"/>
    <w:rsid w:val="00DF66AD"/>
    <w:rsid w:val="00E059C3"/>
    <w:rsid w:val="00E1612A"/>
    <w:rsid w:val="00E24070"/>
    <w:rsid w:val="00E263A7"/>
    <w:rsid w:val="00E351C6"/>
    <w:rsid w:val="00E41C6C"/>
    <w:rsid w:val="00E6493F"/>
    <w:rsid w:val="00E74E3A"/>
    <w:rsid w:val="00E86F22"/>
    <w:rsid w:val="00EA3143"/>
    <w:rsid w:val="00EA641A"/>
    <w:rsid w:val="00EB411D"/>
    <w:rsid w:val="00ED67CC"/>
    <w:rsid w:val="00ED7822"/>
    <w:rsid w:val="00ED7BDC"/>
    <w:rsid w:val="00EE0BD5"/>
    <w:rsid w:val="00EE6D30"/>
    <w:rsid w:val="00F031CB"/>
    <w:rsid w:val="00F14BF8"/>
    <w:rsid w:val="00F158B7"/>
    <w:rsid w:val="00F1735A"/>
    <w:rsid w:val="00F273E8"/>
    <w:rsid w:val="00F36E2B"/>
    <w:rsid w:val="00F46423"/>
    <w:rsid w:val="00F46B40"/>
    <w:rsid w:val="00F50AD9"/>
    <w:rsid w:val="00F5414D"/>
    <w:rsid w:val="00F63307"/>
    <w:rsid w:val="00F72B94"/>
    <w:rsid w:val="00F743D8"/>
    <w:rsid w:val="00F87F07"/>
    <w:rsid w:val="00F954AB"/>
    <w:rsid w:val="00FA009C"/>
    <w:rsid w:val="00FE31C5"/>
    <w:rsid w:val="00FE7806"/>
    <w:rsid w:val="00FF2E31"/>
    <w:rsid w:val="00FF4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D8FC4"/>
  <w15:docId w15:val="{AF2DD587-EE60-422A-8328-FE6419E5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73D9"/>
    <w:pPr>
      <w:spacing w:line="36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073D9"/>
    <w:rPr>
      <w:rFonts w:ascii="Tahoma" w:hAnsi="Tahoma" w:cs="Tahoma"/>
      <w:sz w:val="16"/>
      <w:szCs w:val="16"/>
    </w:rPr>
  </w:style>
  <w:style w:type="character" w:customStyle="1" w:styleId="SprechblasentextZchn">
    <w:name w:val="Sprechblasentext Zchn"/>
    <w:basedOn w:val="Absatz-Standardschriftart"/>
    <w:link w:val="Sprechblasentext"/>
    <w:rsid w:val="005073D9"/>
    <w:rPr>
      <w:rFonts w:ascii="Tahoma" w:hAnsi="Tahoma" w:cs="Tahoma"/>
      <w:sz w:val="16"/>
      <w:szCs w:val="16"/>
    </w:rPr>
  </w:style>
  <w:style w:type="paragraph" w:styleId="Listenabsatz">
    <w:name w:val="List Paragraph"/>
    <w:basedOn w:val="Standard"/>
    <w:uiPriority w:val="34"/>
    <w:qFormat/>
    <w:rsid w:val="00A67AFD"/>
    <w:pPr>
      <w:ind w:left="720"/>
      <w:contextualSpacing/>
    </w:pPr>
  </w:style>
  <w:style w:type="character" w:styleId="Kommentarzeichen">
    <w:name w:val="annotation reference"/>
    <w:basedOn w:val="Absatz-Standardschriftart"/>
    <w:rsid w:val="00EE6D30"/>
    <w:rPr>
      <w:sz w:val="16"/>
      <w:szCs w:val="16"/>
    </w:rPr>
  </w:style>
  <w:style w:type="paragraph" w:styleId="Kommentartext">
    <w:name w:val="annotation text"/>
    <w:basedOn w:val="Standard"/>
    <w:link w:val="KommentartextZchn"/>
    <w:rsid w:val="00EE6D30"/>
    <w:rPr>
      <w:sz w:val="20"/>
      <w:szCs w:val="20"/>
    </w:rPr>
  </w:style>
  <w:style w:type="character" w:customStyle="1" w:styleId="KommentartextZchn">
    <w:name w:val="Kommentartext Zchn"/>
    <w:basedOn w:val="Absatz-Standardschriftart"/>
    <w:link w:val="Kommentartext"/>
    <w:rsid w:val="00EE6D30"/>
    <w:rPr>
      <w:sz w:val="20"/>
      <w:szCs w:val="20"/>
    </w:rPr>
  </w:style>
  <w:style w:type="paragraph" w:styleId="Kommentarthema">
    <w:name w:val="annotation subject"/>
    <w:basedOn w:val="Kommentartext"/>
    <w:next w:val="Kommentartext"/>
    <w:link w:val="KommentarthemaZchn"/>
    <w:rsid w:val="00EE6D30"/>
    <w:rPr>
      <w:b/>
      <w:bCs/>
    </w:rPr>
  </w:style>
  <w:style w:type="character" w:customStyle="1" w:styleId="KommentarthemaZchn">
    <w:name w:val="Kommentarthema Zchn"/>
    <w:basedOn w:val="KommentartextZchn"/>
    <w:link w:val="Kommentarthema"/>
    <w:rsid w:val="00EE6D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8A38-50A7-4B86-BE38-0040903A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57379403.dotm</Template>
  <TotalTime>0</TotalTime>
  <Pages>2</Pages>
  <Words>607</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Linnemann</dc:creator>
  <cp:lastModifiedBy>Claudia Siebers</cp:lastModifiedBy>
  <cp:revision>3</cp:revision>
  <cp:lastPrinted>2019-12-18T10:30:00Z</cp:lastPrinted>
  <dcterms:created xsi:type="dcterms:W3CDTF">2019-12-16T10:22:00Z</dcterms:created>
  <dcterms:modified xsi:type="dcterms:W3CDTF">2019-12-18T10:59:00Z</dcterms:modified>
</cp:coreProperties>
</file>